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85" w:before="280" w:after="28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ZESTAWIENIE ZMIAN W FUNDUSZU</w:t>
      </w:r>
      <w:r>
        <w:rPr>
          <w:rFonts w:cs="Arial" w:ascii="Arial" w:hAnsi="Arial"/>
          <w:b/>
          <w:bCs/>
          <w:sz w:val="24"/>
          <w:szCs w:val="24"/>
        </w:rPr>
        <w:t xml:space="preserve"> JEDNOSTKI</w:t>
      </w:r>
    </w:p>
    <w:tbl>
      <w:tblPr>
        <w:tblW w:w="9892" w:type="dxa"/>
        <w:jc w:val="center"/>
        <w:tblInd w:w="0" w:type="dxa"/>
        <w:tblBorders/>
        <w:tblCellMar>
          <w:top w:w="60" w:type="dxa"/>
          <w:left w:w="8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90"/>
        <w:gridCol w:w="2290"/>
        <w:gridCol w:w="3289"/>
        <w:gridCol w:w="1"/>
        <w:gridCol w:w="360"/>
        <w:gridCol w:w="1439"/>
        <w:gridCol w:w="1"/>
        <w:gridCol w:w="1921"/>
      </w:tblGrid>
      <w:tr>
        <w:trPr/>
        <w:tc>
          <w:tcPr>
            <w:tcW w:w="989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Nazwa i adres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sprawozdawczej </w:t>
            </w:r>
          </w:p>
          <w:p>
            <w:pPr>
              <w:pStyle w:val="Normal"/>
              <w:spacing w:lineRule="atLeast" w:line="20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ŻŁOBEK MIEJSKI WESOŁA ŁĄKA</w:t>
              <w:br/>
              <w:t>Numer identyfikacyjny REGON</w:t>
            </w:r>
          </w:p>
        </w:tc>
        <w:tc>
          <w:tcPr>
            <w:tcW w:w="3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Zestawienie zmian </w:t>
              <w:br/>
              <w:t xml:space="preserve">w funduszu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br/>
              <w:t>sporządzone </w:t>
              <w:br/>
              <w:t>na dzień 31.12.2019 r.</w:t>
            </w:r>
          </w:p>
        </w:tc>
        <w:tc>
          <w:tcPr>
            <w:tcW w:w="3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Artykulwyszukiwarkadzieckobold"/>
              <w:spacing w:lineRule="auto" w:line="254" w:before="280" w:after="28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Urząd Miasta Kutno Wydział Finansów i Budżetu</w:t>
            </w:r>
          </w:p>
          <w:p>
            <w:pPr>
              <w:pStyle w:val="Artykulwyszukiwarkadzieckobold"/>
              <w:spacing w:lineRule="auto" w:line="254" w:before="280" w:after="2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Wysłać bez pisma przewodniego</w:t>
            </w:r>
          </w:p>
        </w:tc>
      </w:tr>
      <w:tr>
        <w:trPr/>
        <w:tc>
          <w:tcPr>
            <w:tcW w:w="61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poprzedniego</w:t>
            </w:r>
          </w:p>
        </w:tc>
        <w:tc>
          <w:tcPr>
            <w:tcW w:w="19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bieżącego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na początek okresu (BO)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175 293,88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1. 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Zwiększenie funduszu (z tytułu)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179 369,00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1 160 212,43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Zysk bilansowy za rok ubiegły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wydatki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179 369,00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1 154 529,83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Zrealizowane płatności ze środków europejskich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5 682,60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przejęte od zlikwidowanych lub połączonych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otrzymane w 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Pozostałe odpisy z wyniku finansowego za rok bieżący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Inne zwiększenia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Zmniejszenia funduszu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4 075,12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366 465,54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za rok ubiegły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183 627,11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dochody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4 075,12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182 838,43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Dotacje i 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Pasywa przejęte od zlikwidowanych lub połączonych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Aktywa przekazywane  w 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Inne zmniejszenia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na koniec okresu (BZ)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175 293,88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969 040,77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Wynik finansowy netto za rok bieżący (+, -)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- 183 627,11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- 1 031 004,22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zysk netto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netto (-)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- 183 627,11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- 1 031 004,22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Nadwyżka środków obrotowych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IV.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Fundusz(poz. II+, - III 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- 8 333,23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- 61 963,45</w:t>
            </w:r>
          </w:p>
        </w:tc>
      </w:tr>
    </w:tbl>
    <w:p>
      <w:pPr>
        <w:pStyle w:val="Normal"/>
        <w:spacing w:lineRule="atLeast" w:line="285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 xml:space="preserve">Sylwia Krawczyk                   2020-03-06                                 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>Małgorzata Łaszewska</w:t>
      </w:r>
    </w:p>
    <w:tbl>
      <w:tblPr>
        <w:tblW w:w="7650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70"/>
        <w:gridCol w:w="2589"/>
        <w:gridCol w:w="2591"/>
      </w:tblGrid>
      <w:tr>
        <w:trPr/>
        <w:tc>
          <w:tcPr>
            <w:tcW w:w="2470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. . . . . . . . . . . . . . . . . . </w:t>
              <w:br/>
              <w:t>(główny księgowy) 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. . . . . . . . . . . . . . . . . . . </w:t>
              <w:br/>
              <w:t>(rok, miesiąc, dzień) </w:t>
            </w:r>
          </w:p>
        </w:tc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. . . . . . . . . . . . . . . . . . . 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br/>
              <w:t xml:space="preserve">(kierownik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d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0157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a7d0c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Artykulwyszukiwarkadzieckobold" w:customStyle="1">
    <w:name w:val="artykulwyszukiwarkadzieckobold"/>
    <w:basedOn w:val="Normal"/>
    <w:semiHidden/>
    <w:qFormat/>
    <w:rsid w:val="004a7d0c"/>
    <w:pPr>
      <w:spacing w:beforeAutospacing="1" w:afterAutospacing="1"/>
    </w:pPr>
    <w:rPr>
      <w:rFonts w:ascii="Tahoma" w:hAnsi="Tahoma" w:eastAsia="Arial Unicode MS" w:cs="Tahoma"/>
      <w:b/>
      <w:bCs/>
      <w:color w:val="444444"/>
      <w:sz w:val="18"/>
      <w:szCs w:val="18"/>
    </w:rPr>
  </w:style>
  <w:style w:type="paragraph" w:styleId="Divzmiananaglowek" w:customStyle="1">
    <w:name w:val="divzmiananaglowek"/>
    <w:basedOn w:val="Normal"/>
    <w:semiHidden/>
    <w:qFormat/>
    <w:rsid w:val="004a7d0c"/>
    <w:pPr>
      <w:spacing w:beforeAutospacing="1" w:afterAutospacing="1"/>
    </w:pPr>
    <w:rPr>
      <w:rFonts w:ascii="Arial" w:hAnsi="Arial" w:eastAsia="Arial Unicode MS" w:cs="Arial"/>
      <w:color w:val="000000"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015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LibreOffice/6.0.5.2$Windows_x86 LibreOffice_project/54c8cbb85f300ac59db32fe8a675ff7683cd5a16</Application>
  <Pages>2</Pages>
  <Words>346</Words>
  <Characters>1742</Characters>
  <CharactersWithSpaces>2079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2020-02-06T13:54:00Z</dcterms:created>
  <dc:creator>Sylwia</dc:creator>
  <dc:description/>
  <dc:language>pl-PL</dc:language>
  <cp:lastModifiedBy/>
  <cp:lastPrinted>2020-03-03T08:46:00Z</cp:lastPrinted>
  <dcterms:modified xsi:type="dcterms:W3CDTF">2022-05-06T10:49:15Z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